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Group: 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Lesson Goal: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uckiest Guy" w:cs="Luckiest Guy" w:eastAsia="Luckiest Guy" w:hAnsi="Luckiest Guy"/>
          <w:color w:val="ff0000"/>
          <w:sz w:val="36"/>
          <w:szCs w:val="36"/>
          <w:rtl w:val="0"/>
        </w:rPr>
        <w:t xml:space="preserve">Human RIghts Lesson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5010"/>
        <w:gridCol w:w="3210"/>
        <w:tblGridChange w:id="0">
          <w:tblGrid>
            <w:gridCol w:w="3135"/>
            <w:gridCol w:w="5010"/>
            <w:gridCol w:w="321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CONTENT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Below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5.1 (SS)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Which human rights are being violated and in what way(s)?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5.2 (SS)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Why does more awareness need to be brought to this issue and how it could be done?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has globalization impacted this issue?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5.3 (SS)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positive changes have been made? What challenges still need to be overcome?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does this issue conflict with North American values/norms?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Planning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Below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5.1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Well researched and informed.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7.3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Website reviews show an understanding of underlying bias/values.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8.2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Lesson plan is complete/detailed.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Researched information is recorded and organized.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Presentation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Below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2.2 (ELA)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Uses clear and appropriate language and can easily be heard.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Any prompts are not read word for word.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Body language does not distract others and shows that this is an important 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9.1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Lesson is creative and engaging.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All written work is carefully planned and audience-friendly.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10.3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Technology is used to add to the lesson.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Feedback and Reflection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Below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2.4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Offers accurate and constructive feedback of presentation.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9.3 (ELA)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Reflection about presentation is thoughtful, specific, and accurate.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Includes response to peer feedback in reflection.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r:id="rId1" w:subsetted="0"/>
  </w:font>
  <w:font w:name="Luckiest Guy">
    <w:embedRegular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Relationship Id="rId2" Type="http://schemas.openxmlformats.org/officeDocument/2006/relationships/font" Target="fonts/LuckiestGuy-regular.ttf"/></Relationships>
</file>