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f67gzqxuamp" w:id="0"/>
      <w:bookmarkEnd w:id="0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21st Century Lesson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jswuvq8ihp6p" w:id="1"/>
      <w:bookmarkEnd w:id="1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Grade 9 ELA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csx7vtebz5v4" w:id="2"/>
      <w:bookmarkEnd w:id="2"/>
      <w:r w:rsidDel="00000000" w:rsidR="00000000" w:rsidRPr="00000000">
        <w:rPr>
          <w:rFonts w:ascii="Belgrano" w:cs="Belgrano" w:eastAsia="Belgrano" w:hAnsi="Belgrano"/>
          <w:b w:val="1"/>
          <w:sz w:val="28"/>
          <w:szCs w:val="28"/>
          <w:rtl w:val="0"/>
        </w:rPr>
        <w:t xml:space="preserve">L2: How are dynamic characters created?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bookmarkStart w:colFirst="0" w:colLast="0" w:name="h.1n2jz4kblloo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Overview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1071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25"/>
        <w:gridCol w:w="8385"/>
        <w:tblGridChange w:id="0">
          <w:tblGrid>
            <w:gridCol w:w="2325"/>
            <w:gridCol w:w="838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5tboktimoh1z" w:id="4"/>
            <w:bookmarkEnd w:id="4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Lesson Goal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Create an animated sequence to introduce a character.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auwiay17vpbp" w:id="5"/>
            <w:bookmarkEnd w:id="5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Outcomes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2.1 participate in a positive way in different types of discussion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8.3 </w:t>
            </w: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choose words carefully for a desired effect </w:t>
            </w:r>
          </w:p>
          <w:p w:rsidR="00000000" w:rsidDel="00000000" w:rsidP="00000000" w:rsidRDefault="00000000" w:rsidRPr="00000000">
            <w:pPr>
              <w:spacing w:line="240" w:lineRule="auto"/>
              <w:ind w:left="0" w:firstLine="0"/>
              <w:contextualSpacing w:val="0"/>
            </w:pPr>
            <w:r w:rsidDel="00000000" w:rsidR="00000000" w:rsidRPr="00000000">
              <w:rPr>
                <w:rFonts w:ascii="Trebuchet MS" w:cs="Trebuchet MS" w:eastAsia="Trebuchet MS" w:hAnsi="Trebuchet MS"/>
                <w:rtl w:val="0"/>
              </w:rPr>
              <w:t xml:space="preserve">10.3 experiment with technology to communicate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Driving Question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How are dynamic characters created?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Materials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App Link (Android): Heads Up!</w:t>
              </w:r>
            </w:hyperlink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 OR  </w:t>
            </w:r>
            <w:hyperlink r:id="rId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App Link (Android): Charades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Slideshow: Character Clips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What A Character!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What A Character! Analysis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UP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UP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Possible Animation Apps/Websites: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App Link (Apple): Toontastic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Powtoon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Flipbook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ZimmerTwins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Tellagami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Blabberize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Peer Evaluation: What A Character!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21 Century </w:t>
            </w: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Competencies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1"/>
              <w:bidi w:val="0"/>
              <w:tblW w:w="739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4140"/>
              <w:gridCol w:w="930"/>
              <w:gridCol w:w="585"/>
              <w:gridCol w:w="585"/>
              <w:gridCol w:w="585"/>
              <w:gridCol w:w="570"/>
              <w:tblGridChange w:id="0">
                <w:tblGrid>
                  <w:gridCol w:w="4140"/>
                  <w:gridCol w:w="930"/>
                  <w:gridCol w:w="585"/>
                  <w:gridCol w:w="585"/>
                  <w:gridCol w:w="585"/>
                  <w:gridCol w:w="570"/>
                </w:tblGrid>
              </w:tblGridChange>
            </w:tblGrid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Entry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III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IV</w:t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Find and Validate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Communicate and Collaborate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Analyse and Synthesize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Apply and Connect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Evaluate and Leverage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Create and Publish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center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  <w:tc>
                <w:tcPr>
                  <w:tcBorders>
                    <w:top w:color="000000" w:space="0" w:sz="6" w:val="dotted"/>
                    <w:left w:color="000000" w:space="0" w:sz="6" w:val="dotted"/>
                    <w:bottom w:color="000000" w:space="0" w:sz="6" w:val="dotted"/>
                    <w:right w:color="000000" w:space="0" w:sz="6" w:val="dotted"/>
                  </w:tcBorders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widowControl w:val="0"/>
                    <w:spacing w:line="240" w:lineRule="auto"/>
                    <w:contextualSpacing w:val="0"/>
                    <w:jc w:val="center"/>
                  </w:pPr>
                  <w:r w:rsidDel="00000000" w:rsidR="00000000" w:rsidRPr="00000000">
                    <w:rPr>
                      <w:rFonts w:ascii="Belgrano" w:cs="Belgrano" w:eastAsia="Belgrano" w:hAnsi="Belgrano"/>
                      <w:color w:val="cc0000"/>
                      <w:sz w:val="24"/>
                      <w:szCs w:val="24"/>
                      <w:rtl w:val="0"/>
                    </w:rPr>
                    <w:t xml:space="preserve">✔</w:t>
                  </w:r>
                </w:p>
              </w:tc>
            </w:tr>
          </w:tbl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Style w:val="Heading1"/>
              <w:spacing w:after="0" w:before="0" w:line="240" w:lineRule="auto"/>
              <w:contextualSpacing w:val="0"/>
            </w:pPr>
            <w:bookmarkStart w:colFirst="0" w:colLast="0" w:name="h.benhlue5mkgz" w:id="6"/>
            <w:bookmarkEnd w:id="6"/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Estimated Time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180 minutes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Belgrano" w:cs="Belgrano" w:eastAsia="Belgrano" w:hAnsi="Belgrano"/>
          <w:b w:val="1"/>
          <w:sz w:val="24"/>
          <w:szCs w:val="24"/>
          <w:rtl w:val="0"/>
        </w:rPr>
        <w:t xml:space="preserve">Lesson: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Entry Event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Play a game of Heads Up! Or Charades (Characters/People only)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Player puts device on forehead and group members need to act out role of person/character, so that player can guess who’s name is on the device.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Debrief how you were able to determine who the person/character was.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Example: What they said, how they talk, body language etc.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Who are your favourite characters? Why do you like them?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1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App Link (Android): Heads Up!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App Link (Android): Charades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1078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220"/>
        <w:gridCol w:w="360"/>
        <w:gridCol w:w="2205"/>
        <w:tblGridChange w:id="0">
          <w:tblGrid>
            <w:gridCol w:w="8220"/>
            <w:gridCol w:w="360"/>
            <w:gridCol w:w="2205"/>
          </w:tblGrid>
        </w:tblGridChange>
      </w:tblGrid>
      <w:tr>
        <w:trPr>
          <w:trHeight w:val="42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I. Introduction (Teacher organized)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Why is character so different from a child’s story to a powerful author’s description?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As our understanding of human nature grows, we can create more three dimensional, dynamic characters.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Vocabulary proficiency allows greater nuance.</w:t>
            </w:r>
          </w:p>
          <w:p w:rsidR="00000000" w:rsidDel="00000000" w:rsidP="00000000" w:rsidRDefault="00000000" w:rsidRPr="00000000">
            <w:pPr>
              <w:numPr>
                <w:ilvl w:val="0"/>
                <w:numId w:val="1"/>
              </w:numPr>
              <w:ind w:left="720" w:hanging="360"/>
              <w:contextualSpacing w:val="1"/>
              <w:rPr>
                <w:rFonts w:ascii="Belgrano" w:cs="Belgrano" w:eastAsia="Belgrano" w:hAnsi="Belgrano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Use a variety of methods to reveal character.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Introduction to the ways authors reveal character in story.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are to record the ways authors reveal character.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Overhead projector and online computer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Slideshow: Character Clips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What A Character!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3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What A Character! Analysis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6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40"/>
        <w:gridCol w:w="2160"/>
        <w:tblGridChange w:id="0">
          <w:tblGrid>
            <w:gridCol w:w="8640"/>
            <w:gridCol w:w="2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II. Guided Learning (Teacher/student collaboration)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Watch the video clips from the movie UP.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Record and discuss each character’s traits, evidence from the clips, and method of characterization, completing the chart together as a class.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5"/>
              <w:bidi w:val="0"/>
              <w:tblW w:w="4313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035"/>
              <w:gridCol w:w="2655"/>
              <w:gridCol w:w="2610"/>
              <w:gridCol w:w="-1987"/>
              <w:tblGridChange w:id="0">
                <w:tblGrid>
                  <w:gridCol w:w="1035"/>
                  <w:gridCol w:w="2655"/>
                  <w:gridCol w:w="2610"/>
                  <w:gridCol w:w="-1987"/>
                </w:tblGrid>
              </w:tblGridChange>
            </w:tblGrid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Description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How do I know?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Method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Carl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Fonts w:ascii="Belgrano" w:cs="Belgrano" w:eastAsia="Belgrano" w:hAnsi="Belgrano"/>
                      <w:sz w:val="24"/>
                      <w:szCs w:val="24"/>
                      <w:rtl w:val="0"/>
                    </w:rPr>
                    <w:t xml:space="preserve">Ellie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</w:tcPr>
                <w:p w:rsidR="00000000" w:rsidDel="00000000" w:rsidP="00000000" w:rsidRDefault="00000000" w:rsidRPr="00000000">
                  <w:pPr>
                    <w:keepNext w:val="0"/>
                    <w:keepLines w:val="0"/>
                    <w:widowControl w:val="0"/>
                    <w:spacing w:after="0" w:before="0" w:line="240" w:lineRule="auto"/>
                    <w:ind w:left="0" w:right="0" w:firstLine="0"/>
                    <w:contextualSpacing w:val="0"/>
                    <w:jc w:val="left"/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Discuss: Are Carl and Ellie dynamic characters? Why do you think that?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work with a partner to select their own short Youtube clip which reveals a character’s traits in some way.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Share a selection of videos, having students explain what they learned about the character and how the author/creator revealed their traits.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Teacher points out any subtleties students may have missed.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Maintain discussion focus on what makes a dynamic character.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4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UP 1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5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Video: UP 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7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670"/>
        <w:gridCol w:w="2130"/>
        <w:tblGridChange w:id="0">
          <w:tblGrid>
            <w:gridCol w:w="8670"/>
            <w:gridCol w:w="213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III. Collaborative Learning (Student focused activity)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work together in partners to create their own animated sequence which reveals a character. </w:t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ind w:left="0" w:firstLine="0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Students are encouraged to use as many of the ways authors reveal character as feasible, and to create dynamic, deep characters.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6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App Link (Apple): Toontastic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7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Powtoon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8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Flipbook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29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ZimmerTwins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0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Tellagami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1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Blabberize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8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IV. Grande Finale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Animations are shared with the class in a round robin set-up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(leave devices with animations running/available at a station and move around the room to view others’ work.)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Individual online devices</w:t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9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00"/>
        <w:gridCol w:w="2100"/>
        <w:tblGridChange w:id="0">
          <w:tblGrid>
            <w:gridCol w:w="8700"/>
            <w:gridCol w:w="21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Reflection/Feedback/Assessment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As students are engaged in round robin viewing, they will leave feedback at each station.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hyperlink r:id="rId32">
              <w:r w:rsidDel="00000000" w:rsidR="00000000" w:rsidRPr="00000000">
                <w:rPr>
                  <w:rFonts w:ascii="Belgrano" w:cs="Belgrano" w:eastAsia="Belgrano" w:hAnsi="Belgrano"/>
                  <w:color w:val="1155cc"/>
                  <w:sz w:val="24"/>
                  <w:szCs w:val="24"/>
                  <w:u w:val="single"/>
                  <w:rtl w:val="0"/>
                </w:rPr>
                <w:t xml:space="preserve">Peer Evaluation: What A Character!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0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45"/>
        <w:gridCol w:w="2055"/>
        <w:tblGridChange w:id="0">
          <w:tblGrid>
            <w:gridCol w:w="8745"/>
            <w:gridCol w:w="205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u w:val="single"/>
                <w:rtl w:val="0"/>
              </w:rPr>
              <w:t xml:space="preserve">Differentiation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Selective partnering for animation task.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0" locked="0" relativeHeight="0" simplePos="0">
                  <wp:simplePos x="0" y="0"/>
                  <wp:positionH relativeFrom="margin">
                    <wp:posOffset>2590800</wp:posOffset>
                  </wp:positionH>
                  <wp:positionV relativeFrom="paragraph">
                    <wp:posOffset>38100</wp:posOffset>
                  </wp:positionV>
                  <wp:extent cx="2643188" cy="3434691"/>
                  <wp:effectExtent b="0" l="0" r="0" t="0"/>
                  <wp:wrapSquare wrapText="bothSides" distB="114300" distT="114300" distL="114300" distR="114300"/>
                  <wp:docPr descr="9780439548977-006_p02_428x473.jpg" id="1" name="image01.jpg"/>
                  <a:graphic>
                    <a:graphicData uri="http://schemas.openxmlformats.org/drawingml/2006/picture">
                      <pic:pic>
                        <pic:nvPicPr>
                          <pic:cNvPr descr="9780439548977-006_p02_428x473.jpg" id="0" name="image01.jpg"/>
                          <pic:cNvPicPr preferRelativeResize="0"/>
                        </pic:nvPicPr>
                        <pic:blipFill>
                          <a:blip r:embed="rId3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3188" cy="3434691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Use of graphic organizer for UP character traits.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Belgrano" w:cs="Belgrano" w:eastAsia="Belgrano" w:hAnsi="Belgrano"/>
                <w:b w:val="1"/>
                <w:sz w:val="24"/>
                <w:szCs w:val="24"/>
                <w:rtl w:val="0"/>
              </w:rPr>
              <w:t xml:space="preserve">Resources:</w:t>
            </w:r>
            <w:r w:rsidDel="00000000" w:rsidR="00000000" w:rsidRPr="00000000">
              <w:rPr>
                <w:rFonts w:ascii="Belgrano" w:cs="Belgrano" w:eastAsia="Belgrano" w:hAnsi="Belgrano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footerReference r:id="rId34" w:type="default"/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Belgrano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</w:pPr>
    <w:r w:rsidDel="00000000" w:rsidR="00000000" w:rsidRPr="00000000">
      <w:rPr>
        <w:rtl w:val="0"/>
      </w:rPr>
      <w:t xml:space="preserve">This lesson is available online at davisonteach.weebly.com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❏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❏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❏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❏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❏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6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7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8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9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10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play.google.com/store/apps/details?id=com.fatchicken007.headsupcharades2&amp;hl=en" TargetMode="External"/><Relationship Id="rId22" Type="http://schemas.openxmlformats.org/officeDocument/2006/relationships/hyperlink" Target="https://www.powtoon.com/c/dNFfQrSwajk/1/m" TargetMode="External"/><Relationship Id="rId21" Type="http://schemas.openxmlformats.org/officeDocument/2006/relationships/hyperlink" Target="https://docs.google.com/presentation/d/1wlzN_1o_OPBLi_rwiHQSqDxt2cnSNINDO6D00upoTjM/edit?usp=sharing" TargetMode="External"/><Relationship Id="rId24" Type="http://schemas.openxmlformats.org/officeDocument/2006/relationships/hyperlink" Target="https://www.youtube.com/watch?v=VR8hlvLghrs" TargetMode="External"/><Relationship Id="rId23" Type="http://schemas.openxmlformats.org/officeDocument/2006/relationships/hyperlink" Target="https://www.powtoon.com/c/f8H2EEUyQEy/1/m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www.powtoon.com/c/f8H2EEUyQEy/1/m" TargetMode="External"/><Relationship Id="rId26" Type="http://schemas.openxmlformats.org/officeDocument/2006/relationships/hyperlink" Target="https://itunes.apple.com/ca/app/toontastic/id404693282?mt=8" TargetMode="External"/><Relationship Id="rId25" Type="http://schemas.openxmlformats.org/officeDocument/2006/relationships/hyperlink" Target="https://www.youtube.com/watch?v=lLprjxFhs8s" TargetMode="External"/><Relationship Id="rId28" Type="http://schemas.openxmlformats.org/officeDocument/2006/relationships/hyperlink" Target="http://www.benettonplay.com/toys/flipbookdeluxe/guest.php" TargetMode="External"/><Relationship Id="rId27" Type="http://schemas.openxmlformats.org/officeDocument/2006/relationships/hyperlink" Target="http://www.powtoon.com" TargetMode="External"/><Relationship Id="rId5" Type="http://schemas.openxmlformats.org/officeDocument/2006/relationships/hyperlink" Target="https://play.google.com/store/apps/details?id=com.wb.headsup&amp;hl=en" TargetMode="External"/><Relationship Id="rId6" Type="http://schemas.openxmlformats.org/officeDocument/2006/relationships/hyperlink" Target="https://play.google.com/store/apps/details?id=com.fatchicken007.headsupcharades2&amp;hl=en" TargetMode="External"/><Relationship Id="rId29" Type="http://schemas.openxmlformats.org/officeDocument/2006/relationships/hyperlink" Target="http://www.zimmertwins.com/" TargetMode="External"/><Relationship Id="rId7" Type="http://schemas.openxmlformats.org/officeDocument/2006/relationships/hyperlink" Target="https://docs.google.com/presentation/d/1wlzN_1o_OPBLi_rwiHQSqDxt2cnSNINDO6D00upoTjM/edit?usp=sharing" TargetMode="External"/><Relationship Id="rId8" Type="http://schemas.openxmlformats.org/officeDocument/2006/relationships/hyperlink" Target="https://www.powtoon.com/c/dNFfQrSwajk/1/m" TargetMode="External"/><Relationship Id="rId31" Type="http://schemas.openxmlformats.org/officeDocument/2006/relationships/hyperlink" Target="http://blabberize.com/" TargetMode="External"/><Relationship Id="rId30" Type="http://schemas.openxmlformats.org/officeDocument/2006/relationships/hyperlink" Target="https://tellagami.com/" TargetMode="External"/><Relationship Id="rId11" Type="http://schemas.openxmlformats.org/officeDocument/2006/relationships/hyperlink" Target="https://www.youtube.com/watch?v=lLprjxFhs8s" TargetMode="External"/><Relationship Id="rId33" Type="http://schemas.openxmlformats.org/officeDocument/2006/relationships/image" Target="media/image01.jpg"/><Relationship Id="rId10" Type="http://schemas.openxmlformats.org/officeDocument/2006/relationships/hyperlink" Target="https://www.youtube.com/watch?v=VR8hlvLghrs" TargetMode="External"/><Relationship Id="rId32" Type="http://schemas.openxmlformats.org/officeDocument/2006/relationships/hyperlink" Target="https://docs.google.com/document/d/1h6ZnbsGxWIbYDwAQpwY82Pue6oVRj-DCcYBarSkqGYA/edit?usp=sharing" TargetMode="External"/><Relationship Id="rId13" Type="http://schemas.openxmlformats.org/officeDocument/2006/relationships/hyperlink" Target="http://www.powtoon.com" TargetMode="External"/><Relationship Id="rId12" Type="http://schemas.openxmlformats.org/officeDocument/2006/relationships/hyperlink" Target="https://itunes.apple.com/ca/app/toontastic/id404693282?mt=8" TargetMode="External"/><Relationship Id="rId34" Type="http://schemas.openxmlformats.org/officeDocument/2006/relationships/footer" Target="footer1.xml"/><Relationship Id="rId15" Type="http://schemas.openxmlformats.org/officeDocument/2006/relationships/hyperlink" Target="http://www.zimmertwins.com/" TargetMode="External"/><Relationship Id="rId14" Type="http://schemas.openxmlformats.org/officeDocument/2006/relationships/hyperlink" Target="http://www.benettonplay.com/toys/flipbookdeluxe/guest.php" TargetMode="External"/><Relationship Id="rId17" Type="http://schemas.openxmlformats.org/officeDocument/2006/relationships/hyperlink" Target="http://blabberize.com/" TargetMode="External"/><Relationship Id="rId16" Type="http://schemas.openxmlformats.org/officeDocument/2006/relationships/hyperlink" Target="https://tellagami.com/" TargetMode="External"/><Relationship Id="rId19" Type="http://schemas.openxmlformats.org/officeDocument/2006/relationships/hyperlink" Target="https://play.google.com/store/apps/details?id=com.wb.headsup&amp;hl=en" TargetMode="External"/><Relationship Id="rId18" Type="http://schemas.openxmlformats.org/officeDocument/2006/relationships/hyperlink" Target="https://docs.google.com/document/d/1h6ZnbsGxWIbYDwAQpwY82Pue6oVRj-DCcYBarSkqGYA/edit?usp=sharin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elgrano-regular.ttf"/></Relationships>
</file>