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f67gzqxuamp" w:id="0"/>
      <w:bookmarkEnd w:id="0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21st Century PBL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ytrovqkwk5on" w:id="1"/>
      <w:bookmarkEnd w:id="1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Grade 9 - ELA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vzmgcfs5ae1q" w:id="2"/>
      <w:bookmarkEnd w:id="2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PBL: How is story important in 21st century?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1n2jz4kbllo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Overview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7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8385"/>
        <w:tblGridChange w:id="0">
          <w:tblGrid>
            <w:gridCol w:w="2325"/>
            <w:gridCol w:w="83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5tboktimoh1z" w:id="4"/>
            <w:bookmarkEnd w:id="4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Lesson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Develop an appreciation of story in the 21st century.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auwiay17vpbp" w:id="5"/>
            <w:bookmarkEnd w:id="5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Outcomes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3.1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listen when people talk and show respect for them and their ideas/feelings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5.1 find and select the right information for your needs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8.1 use writing to explore, clarify, and express your thoughts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8.3 choose words carefully for a desired effect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9.2 make good choices of content and form for the audience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9.3 determine if other people’s reaction to your writing is appropriate and fair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Driving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h.vzmgcfs5ae1q" w:id="2"/>
            <w:bookmarkEnd w:id="2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How is story important in 21st century?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Overhead projector and online computer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Text: Am I Blue?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Whiteboard History of Storytelling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7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Padlet: 21st C Story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8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Observation Tracking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21 Century </w:t>
            </w: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681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40"/>
              <w:gridCol w:w="930"/>
              <w:gridCol w:w="585"/>
              <w:gridCol w:w="585"/>
              <w:gridCol w:w="570"/>
              <w:tblGridChange w:id="0">
                <w:tblGrid>
                  <w:gridCol w:w="4140"/>
                  <w:gridCol w:w="930"/>
                  <w:gridCol w:w="585"/>
                  <w:gridCol w:w="585"/>
                  <w:gridCol w:w="570"/>
                </w:tblGrid>
              </w:tblGridChange>
            </w:tblGrid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Entry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IV</w:t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Find and Validate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Communicate and Collaborate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Analyse and Synthesize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Apply and Connect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Evaluate and Leverage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Create and Publish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Estimated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300 minutes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Lesson: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20"/>
        <w:gridCol w:w="360"/>
        <w:gridCol w:w="2205"/>
        <w:tblGridChange w:id="0">
          <w:tblGrid>
            <w:gridCol w:w="8220"/>
            <w:gridCol w:w="360"/>
            <w:gridCol w:w="22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Entry Event (Teacher organized)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Teacher reading of choice short story.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Text: Am I Blue? - Why is this story important to me?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Way of sharing an important message and challenging people’s perceptions/stereotypes. Entertaining, yet meaningful.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9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Text: Am I Blue?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gridCol w:w="2160"/>
        <w:tblGridChange w:id="0">
          <w:tblGrid>
            <w:gridCol w:w="864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II. Guided Learning (Teacher/student collaboration)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Brainstorm: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Where do we see and hear story in our 21st century lives? What forms does it take?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Watch video after class discussion.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0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Whiteboard History of Storytelling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70"/>
        <w:gridCol w:w="2130"/>
        <w:tblGridChange w:id="0">
          <w:tblGrid>
            <w:gridCol w:w="8670"/>
            <w:gridCol w:w="21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III. Collaborative Learning (Student focused activity)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u w:val="single"/>
                <w:rtl w:val="0"/>
              </w:rPr>
              <w:t xml:space="preserve">Part One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 small groups, students will be assigned one of the forms of 21st C story to research. Each group will post their findings to the padlet to share with others.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Guiding Questions: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How does ________ tell a story? (form)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What story does it tell? (content)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Why is this story important? (purpose)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u w:val="single"/>
                <w:rtl w:val="0"/>
              </w:rPr>
              <w:t xml:space="preserve">Part Two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work independently or in small groups to plan and prepare short presentations. Each segment should be less than 90 seconds, depending on the number of people involved.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Possibilities: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Monologue on relevant green screen image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Short skit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Spoken word poem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Animation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StopMotion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Guiding questions: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How is story important in your life?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What would be lost without story?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How is your participation in creating story different today than your parents’ or grandparents’ participation?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Develop a class video which captures everyone’s perspective on why story is important to them.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1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Padlet: 21st C Story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Will be dependent on how students prepare their segments.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IV. Grande Finale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Presentation of video to switch class.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Overhead projector and online computer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Reflection/Feedback/Assessment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Padlet of Praise - each class creates a Padlet page to give switch class feedback about their video.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Observation of group work.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2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Observation Tracking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45"/>
        <w:gridCol w:w="2055"/>
        <w:tblGridChange w:id="0">
          <w:tblGrid>
            <w:gridCol w:w="8745"/>
            <w:gridCol w:w="20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Differentiation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Depth of participation will depend entirely on student’s individual ability and level of comfort.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Belgra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This lesson is available online at davisonteach.weebly.com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adlet.com/DavisonTeach/21stCStory" TargetMode="External"/><Relationship Id="rId10" Type="http://schemas.openxmlformats.org/officeDocument/2006/relationships/hyperlink" Target="https://youtu.be/p6E8jpFasR0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docs.google.com/document/d/124A65VCFhfGAtgfsPVdgSZBZWeHfa7X-Mk2YFp3XzmM/edit?usp=sharin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livingston.org/cms/lib9/NJ01000562/Centricity/Domain/1008/Bruce%20Coville%20-%20Am%20I%20Blue%20Text.pdf" TargetMode="External"/><Relationship Id="rId5" Type="http://schemas.openxmlformats.org/officeDocument/2006/relationships/hyperlink" Target="http://www.livingston.org/cms/lib9/NJ01000562/Centricity/Domain/1008/Bruce%20Coville%20-%20Am%20I%20Blue%20Text.pdf" TargetMode="External"/><Relationship Id="rId6" Type="http://schemas.openxmlformats.org/officeDocument/2006/relationships/hyperlink" Target="https://youtu.be/p6E8jpFasR0" TargetMode="External"/><Relationship Id="rId7" Type="http://schemas.openxmlformats.org/officeDocument/2006/relationships/hyperlink" Target="https://padlet.com/DavisonTeach/21stCStory" TargetMode="External"/><Relationship Id="rId8" Type="http://schemas.openxmlformats.org/officeDocument/2006/relationships/hyperlink" Target="https://docs.google.com/document/d/124A65VCFhfGAtgfsPVdgSZBZWeHfa7X-Mk2YFp3XzmM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grano-regular.ttf"/></Relationships>
</file>